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1</w:t>
      </w:r>
    </w:p>
    <w:p w:rsid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An example of a current liability that must be accrued at the end of a fiscal period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is: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6" type="#_x0000_t75" style="width:20.25pt;height:17.25pt" o:ole="">
            <v:imagedata r:id="rId4" o:title=""/>
          </v:shape>
          <w:control r:id="rId5" w:name="DefaultOcxName" w:shapeid="_x0000_i1186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Accounts payable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85" type="#_x0000_t75" style="width:20.25pt;height:17.25pt" o:ole="">
            <v:imagedata r:id="rId4" o:title=""/>
          </v:shape>
          <w:control r:id="rId6" w:name="DefaultOcxName1" w:shapeid="_x0000_i1185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Interest receivable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84" type="#_x0000_t75" style="width:20.25pt;height:17.25pt" o:ole="">
            <v:imagedata r:id="rId4" o:title=""/>
          </v:shape>
          <w:control r:id="rId7" w:name="DefaultOcxName2" w:shapeid="_x0000_i1184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Notes payable</w:t>
      </w:r>
    </w:p>
    <w:p w:rsidR="002F3D91" w:rsidRPr="002F3D91" w:rsidRDefault="002F3D91" w:rsidP="002F3D91">
      <w:pPr>
        <w:shd w:val="clear" w:color="auto" w:fill="FFFFFF"/>
        <w:spacing w:after="72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83" type="#_x0000_t75" style="width:20.25pt;height:17.25pt" o:ole="">
            <v:imagedata r:id="rId4" o:title=""/>
          </v:shape>
          <w:control r:id="rId8" w:name="DefaultOcxName3" w:shapeid="_x0000_i1183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Wages payable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82" type="#_x0000_t75" style="width:36pt;height:21.75pt" o:ole="">
            <v:imagedata r:id="rId9" o:title=""/>
          </v:shape>
          <w:control r:id="rId10" w:name="DefaultOcxName4" w:shapeid="_x0000_i1182"/>
        </w:object>
      </w:r>
    </w:p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 w:rsidRPr="002F3D91"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2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Not complete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Marked out of 1.00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 </w: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object w:dxaOrig="1440" w:dyaOrig="1440">
          <v:shape id="_x0000_i1181" type="#_x0000_t75" style="width:1in;height:1in" o:ole="">
            <v:imagedata r:id="rId11" o:title=""/>
          </v:shape>
          <w:control r:id="rId12" w:name="DefaultOcxName5" w:shapeid="_x0000_i1181"/>
        </w:objec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Flag question</w:t>
      </w:r>
    </w:p>
    <w:p w:rsidR="002F3D91" w:rsidRPr="002F3D91" w:rsidRDefault="002F3D91" w:rsidP="002F3D91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Question text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On October 1, Smith &amp; Sons borrowed $60,000 from Bank of America on a 6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month, 7 percent note. If the company's fiscal year ends on December 31 and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no adjusting entries have been made since the initial journal entry on October 1,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Smith &amp; Sons should make a year-end adjusting entry involving a debit to: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80" type="#_x0000_t75" style="width:20.25pt;height:17.25pt" o:ole="">
            <v:imagedata r:id="rId4" o:title=""/>
          </v:shape>
          <w:control r:id="rId13" w:name="DefaultOcxName6" w:shapeid="_x0000_i1180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Interest expense for $2,100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9" type="#_x0000_t75" style="width:20.25pt;height:17.25pt" o:ole="">
            <v:imagedata r:id="rId4" o:title=""/>
          </v:shape>
          <w:control r:id="rId14" w:name="DefaultOcxName7" w:shapeid="_x0000_i1179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Interest payable for $2,100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8" type="#_x0000_t75" style="width:20.25pt;height:17.25pt" o:ole="">
            <v:imagedata r:id="rId4" o:title=""/>
          </v:shape>
          <w:control r:id="rId15" w:name="DefaultOcxName8" w:shapeid="_x0000_i1178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Interest expense for $1,050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7" type="#_x0000_t75" style="width:20.25pt;height:17.25pt" o:ole="">
            <v:imagedata r:id="rId4" o:title=""/>
          </v:shape>
          <w:control r:id="rId16" w:name="DefaultOcxName9" w:shapeid="_x0000_i1177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Interest payable for $1,050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6" type="#_x0000_t75" style="width:20.25pt;height:17.25pt" o:ole="">
            <v:imagedata r:id="rId4" o:title=""/>
          </v:shape>
          <w:control r:id="rId17" w:name="DefaultOcxName10" w:shapeid="_x0000_i1176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Interest expense for $700</w:t>
      </w:r>
    </w:p>
    <w:p w:rsidR="002F3D91" w:rsidRPr="002F3D91" w:rsidRDefault="002F3D91" w:rsidP="002F3D91">
      <w:pPr>
        <w:shd w:val="clear" w:color="auto" w:fill="FFFFFF"/>
        <w:spacing w:after="72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5" type="#_x0000_t75" style="width:20.25pt;height:17.25pt" o:ole="">
            <v:imagedata r:id="rId4" o:title=""/>
          </v:shape>
          <w:control r:id="rId18" w:name="DefaultOcxName11" w:shapeid="_x0000_i1175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Interest payable for $700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4" type="#_x0000_t75" style="width:36pt;height:21.75pt" o:ole="">
            <v:imagedata r:id="rId19" o:title=""/>
          </v:shape>
          <w:control r:id="rId20" w:name="DefaultOcxName12" w:shapeid="_x0000_i1174"/>
        </w:object>
      </w:r>
    </w:p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bookmarkStart w:id="0" w:name="_GoBack"/>
      <w:bookmarkEnd w:id="0"/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 w:rsidRPr="002F3D91"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3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Not complete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Marked out of 1.00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lastRenderedPageBreak/>
        <w:t> </w: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object w:dxaOrig="1440" w:dyaOrig="1440">
          <v:shape id="_x0000_i1173" type="#_x0000_t75" style="width:1in;height:1in" o:ole="">
            <v:imagedata r:id="rId11" o:title=""/>
          </v:shape>
          <w:control r:id="rId21" w:name="DefaultOcxName13" w:shapeid="_x0000_i1173"/>
        </w:objec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Flag question</w:t>
      </w:r>
    </w:p>
    <w:p w:rsidR="002F3D91" w:rsidRPr="002F3D91" w:rsidRDefault="002F3D91" w:rsidP="002F3D91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Question text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A customer has sued Smith &amp; Sons for an injury sustained while shopping at a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company outlet. The company’s management determined that it is possible that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the customer will win the lawsuit and estimated that the possible lawsuit award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might be as high as $1,000,000. Smith &amp; Sons should: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2" type="#_x0000_t75" style="width:20.25pt;height:17.25pt" o:ole="">
            <v:imagedata r:id="rId4" o:title=""/>
          </v:shape>
          <w:control r:id="rId22" w:name="DefaultOcxName14" w:shapeid="_x0000_i1172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Record a liability in the company’s financial statements.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1" type="#_x0000_t75" style="width:20.25pt;height:17.25pt" o:ole="">
            <v:imagedata r:id="rId4" o:title=""/>
          </v:shape>
          <w:control r:id="rId23" w:name="DefaultOcxName15" w:shapeid="_x0000_i1171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Record a liability and a loss in the company’s financial statements.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70" type="#_x0000_t75" style="width:20.25pt;height:17.25pt" o:ole="">
            <v:imagedata r:id="rId4" o:title=""/>
          </v:shape>
          <w:control r:id="rId24" w:name="DefaultOcxName16" w:shapeid="_x0000_i1170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Do not record a liability in the financial statements but disclose the information</w: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br/>
        <w:t>in a note to the company’s financial statements.</w:t>
      </w:r>
    </w:p>
    <w:p w:rsidR="002F3D91" w:rsidRPr="002F3D91" w:rsidRDefault="002F3D91" w:rsidP="002F3D91">
      <w:pPr>
        <w:shd w:val="clear" w:color="auto" w:fill="FFFFFF"/>
        <w:spacing w:after="72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69" type="#_x0000_t75" style="width:20.25pt;height:17.25pt" o:ole="">
            <v:imagedata r:id="rId4" o:title=""/>
          </v:shape>
          <w:control r:id="rId25" w:name="DefaultOcxName17" w:shapeid="_x0000_i1169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Neither record a liability in the company’s financial statements nor disclose</w: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br/>
        <w:t>the information in a note to its financial statements.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68" type="#_x0000_t75" style="width:36pt;height:21.75pt" o:ole="">
            <v:imagedata r:id="rId26" o:title=""/>
          </v:shape>
          <w:control r:id="rId27" w:name="DefaultOcxName18" w:shapeid="_x0000_i1168"/>
        </w:object>
      </w:r>
    </w:p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 w:rsidRPr="002F3D91"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4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Not complete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Marked out of 1.00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 </w: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object w:dxaOrig="1440" w:dyaOrig="1440">
          <v:shape id="_x0000_i1167" type="#_x0000_t75" style="width:1in;height:1in" o:ole="">
            <v:imagedata r:id="rId11" o:title=""/>
          </v:shape>
          <w:control r:id="rId28" w:name="DefaultOcxName19" w:shapeid="_x0000_i1167"/>
        </w:objec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Flag question</w:t>
      </w:r>
    </w:p>
    <w:p w:rsidR="002F3D91" w:rsidRPr="002F3D91" w:rsidRDefault="002F3D91" w:rsidP="002F3D91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Question text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Cave Creek Harley Davidson sells motorcycles. During the first year of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 xml:space="preserve">operations, the company sold 3,000 motorcycles, each with a </w:t>
      </w:r>
      <w:proofErr w:type="gramStart"/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3 year</w:t>
      </w:r>
      <w:proofErr w:type="gramEnd"/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 xml:space="preserve"> warranty.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The company estimates that 10 percent of the motorcycles sold will need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warranty repair work at an average cost of $600 per motorcycle. In the second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year of operations, Cave Creek HD performed warranty work on the motorcycles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sold in the first year at a total cost of $30,000. When Cave Creek HD performs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the repairs in the second year, they will debit the Warranty Expense account for: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lastRenderedPageBreak/>
        <w:object w:dxaOrig="1440" w:dyaOrig="1440">
          <v:shape id="_x0000_i1166" type="#_x0000_t75" style="width:20.25pt;height:17.25pt" o:ole="">
            <v:imagedata r:id="rId4" o:title=""/>
          </v:shape>
          <w:control r:id="rId29" w:name="DefaultOcxName20" w:shapeid="_x0000_i1166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$30,000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65" type="#_x0000_t75" style="width:20.25pt;height:17.25pt" o:ole="">
            <v:imagedata r:id="rId4" o:title=""/>
          </v:shape>
          <w:control r:id="rId30" w:name="DefaultOcxName21" w:shapeid="_x0000_i1165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$50,000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64" type="#_x0000_t75" style="width:20.25pt;height:17.25pt" o:ole="">
            <v:imagedata r:id="rId4" o:title=""/>
          </v:shape>
          <w:control r:id="rId31" w:name="DefaultOcxName22" w:shapeid="_x0000_i1164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$0</w:t>
      </w:r>
    </w:p>
    <w:p w:rsidR="002F3D91" w:rsidRPr="002F3D91" w:rsidRDefault="002F3D91" w:rsidP="002F3D91">
      <w:pPr>
        <w:shd w:val="clear" w:color="auto" w:fill="FFFFFF"/>
        <w:spacing w:after="72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63" type="#_x0000_t75" style="width:20.25pt;height:17.25pt" o:ole="">
            <v:imagedata r:id="rId4" o:title=""/>
          </v:shape>
          <w:control r:id="rId32" w:name="DefaultOcxName23" w:shapeid="_x0000_i1163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$20,000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62" type="#_x0000_t75" style="width:36pt;height:21.75pt" o:ole="">
            <v:imagedata r:id="rId33" o:title=""/>
          </v:shape>
          <w:control r:id="rId34" w:name="DefaultOcxName24" w:shapeid="_x0000_i1162"/>
        </w:object>
      </w:r>
    </w:p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 w:rsidRPr="002F3D91"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5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Not complete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Marked out of 1.00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 </w: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object w:dxaOrig="1440" w:dyaOrig="1440">
          <v:shape id="_x0000_i1161" type="#_x0000_t75" style="width:1in;height:1in" o:ole="">
            <v:imagedata r:id="rId11" o:title=""/>
          </v:shape>
          <w:control r:id="rId35" w:name="DefaultOcxName25" w:shapeid="_x0000_i1161"/>
        </w:objec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Flag question</w:t>
      </w:r>
    </w:p>
    <w:p w:rsidR="002F3D91" w:rsidRPr="002F3D91" w:rsidRDefault="002F3D91" w:rsidP="002F3D91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Question text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Italian Garden Restaurant sold $20,000 of gift cards in May. These gift cards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 xml:space="preserve">may be used </w:t>
      </w:r>
      <w:proofErr w:type="spellStart"/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anytime</w:t>
      </w:r>
      <w:proofErr w:type="spellEnd"/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 xml:space="preserve"> before their expiration on May 31 of the following year. In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May, when the gift cards are sold, Italian Garden will credit: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60" type="#_x0000_t75" style="width:20.25pt;height:17.25pt" o:ole="">
            <v:imagedata r:id="rId4" o:title=""/>
          </v:shape>
          <w:control r:id="rId36" w:name="DefaultOcxName26" w:shapeid="_x0000_i1160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Unearned Revenue for $20,000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9" type="#_x0000_t75" style="width:20.25pt;height:17.25pt" o:ole="">
            <v:imagedata r:id="rId4" o:title=""/>
          </v:shape>
          <w:control r:id="rId37" w:name="DefaultOcxName27" w:shapeid="_x0000_i1159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Cash for $20,000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8" type="#_x0000_t75" style="width:20.25pt;height:17.25pt" o:ole="">
            <v:imagedata r:id="rId4" o:title=""/>
          </v:shape>
          <w:control r:id="rId38" w:name="DefaultOcxName28" w:shapeid="_x0000_i1158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Prepaid Revenue for $20,000</w:t>
      </w:r>
    </w:p>
    <w:p w:rsidR="002F3D91" w:rsidRPr="002F3D91" w:rsidRDefault="002F3D91" w:rsidP="002F3D91">
      <w:pPr>
        <w:shd w:val="clear" w:color="auto" w:fill="FFFFFF"/>
        <w:spacing w:after="72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7" type="#_x0000_t75" style="width:20.25pt;height:17.25pt" o:ole="">
            <v:imagedata r:id="rId4" o:title=""/>
          </v:shape>
          <w:control r:id="rId39" w:name="DefaultOcxName29" w:shapeid="_x0000_i1157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Accrued Revenue for $20,000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6" type="#_x0000_t75" style="width:36pt;height:21.75pt" o:ole="">
            <v:imagedata r:id="rId40" o:title=""/>
          </v:shape>
          <w:control r:id="rId41" w:name="DefaultOcxName30" w:shapeid="_x0000_i1156"/>
        </w:object>
      </w:r>
    </w:p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 w:rsidRPr="002F3D91"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6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Not complete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Marked out of 1.00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 </w: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object w:dxaOrig="1440" w:dyaOrig="1440">
          <v:shape id="_x0000_i1155" type="#_x0000_t75" style="width:1in;height:1in" o:ole="">
            <v:imagedata r:id="rId11" o:title=""/>
          </v:shape>
          <w:control r:id="rId42" w:name="DefaultOcxName31" w:shapeid="_x0000_i1155"/>
        </w:objec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Flag question</w:t>
      </w:r>
    </w:p>
    <w:p w:rsidR="002F3D91" w:rsidRPr="002F3D91" w:rsidRDefault="002F3D91" w:rsidP="002F3D91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Question text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General Mills sells cereal and other food items to Safeway. General Mills mails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out 1,000,000 coupons to consumers on January 1 for $0.50 off a box of cereal.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Based on past experience with this type of coupon, General Mills estimates that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five percent of the coupons will be redeemed at Safeway. How much of a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lastRenderedPageBreak/>
        <w:t>“coupon liability” will General Mills record on January 1 when the coupons are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mailed?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4" type="#_x0000_t75" style="width:20.25pt;height:17.25pt" o:ole="">
            <v:imagedata r:id="rId4" o:title=""/>
          </v:shape>
          <w:control r:id="rId43" w:name="DefaultOcxName32" w:shapeid="_x0000_i1154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$500,000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3" type="#_x0000_t75" style="width:20.25pt;height:17.25pt" o:ole="">
            <v:imagedata r:id="rId4" o:title=""/>
          </v:shape>
          <w:control r:id="rId44" w:name="DefaultOcxName33" w:shapeid="_x0000_i1153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$100,000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2" type="#_x0000_t75" style="width:20.25pt;height:17.25pt" o:ole="">
            <v:imagedata r:id="rId4" o:title=""/>
          </v:shape>
          <w:control r:id="rId45" w:name="DefaultOcxName34" w:shapeid="_x0000_i1152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$ 25,000</w:t>
      </w:r>
    </w:p>
    <w:p w:rsidR="002F3D91" w:rsidRPr="002F3D91" w:rsidRDefault="002F3D91" w:rsidP="002F3D91">
      <w:pPr>
        <w:shd w:val="clear" w:color="auto" w:fill="FFFFFF"/>
        <w:spacing w:after="72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1" type="#_x0000_t75" style="width:20.25pt;height:17.25pt" o:ole="">
            <v:imagedata r:id="rId4" o:title=""/>
          </v:shape>
          <w:control r:id="rId46" w:name="DefaultOcxName35" w:shapeid="_x0000_i1151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$0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50" type="#_x0000_t75" style="width:36pt;height:21.75pt" o:ole="">
            <v:imagedata r:id="rId47" o:title=""/>
          </v:shape>
          <w:control r:id="rId48" w:name="DefaultOcxName36" w:shapeid="_x0000_i1150"/>
        </w:object>
      </w:r>
    </w:p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 w:rsidRPr="002F3D91"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7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Not complete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Marked out of 1.00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 </w: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object w:dxaOrig="1440" w:dyaOrig="1440">
          <v:shape id="_x0000_i1149" type="#_x0000_t75" style="width:1in;height:1in" o:ole="">
            <v:imagedata r:id="rId11" o:title=""/>
          </v:shape>
          <w:control r:id="rId49" w:name="DefaultOcxName37" w:shapeid="_x0000_i1149"/>
        </w:objec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Flag question</w:t>
      </w:r>
    </w:p>
    <w:p w:rsidR="002F3D91" w:rsidRPr="002F3D91" w:rsidRDefault="002F3D91" w:rsidP="002F3D91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Question text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Which of the following is not considered to be a contingent liability?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48" type="#_x0000_t75" style="width:20.25pt;height:17.25pt" o:ole="">
            <v:imagedata r:id="rId4" o:title=""/>
          </v:shape>
          <w:control r:id="rId50" w:name="DefaultOcxName38" w:shapeid="_x0000_i1148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Environmental clean-up costs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47" type="#_x0000_t75" style="width:20.25pt;height:17.25pt" o:ole="">
            <v:imagedata r:id="rId4" o:title=""/>
          </v:shape>
          <w:control r:id="rId51" w:name="DefaultOcxName39" w:shapeid="_x0000_i1147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Pending lawsuit award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46" type="#_x0000_t75" style="width:20.25pt;height:17.25pt" o:ole="">
            <v:imagedata r:id="rId4" o:title=""/>
          </v:shape>
          <w:control r:id="rId52" w:name="DefaultOcxName40" w:shapeid="_x0000_i1146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Credit guarantee</w:t>
      </w:r>
    </w:p>
    <w:p w:rsidR="002F3D91" w:rsidRPr="002F3D91" w:rsidRDefault="002F3D91" w:rsidP="002F3D91">
      <w:pPr>
        <w:shd w:val="clear" w:color="auto" w:fill="FFFFFF"/>
        <w:spacing w:after="72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45" type="#_x0000_t75" style="width:20.25pt;height:17.25pt" o:ole="">
            <v:imagedata r:id="rId4" o:title=""/>
          </v:shape>
          <w:control r:id="rId53" w:name="DefaultOcxName41" w:shapeid="_x0000_i1145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Notes payable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44" type="#_x0000_t75" style="width:36pt;height:21.75pt" o:ole="">
            <v:imagedata r:id="rId54" o:title=""/>
          </v:shape>
          <w:control r:id="rId55" w:name="DefaultOcxName42" w:shapeid="_x0000_i1144"/>
        </w:object>
      </w:r>
    </w:p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 w:rsidRPr="002F3D91"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8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Not complete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Marked out of 1.00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 </w: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object w:dxaOrig="1440" w:dyaOrig="1440">
          <v:shape id="_x0000_i1143" type="#_x0000_t75" style="width:1in;height:1in" o:ole="">
            <v:imagedata r:id="rId11" o:title=""/>
          </v:shape>
          <w:control r:id="rId56" w:name="DefaultOcxName43" w:shapeid="_x0000_i1143"/>
        </w:objec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Flag question</w:t>
      </w:r>
    </w:p>
    <w:p w:rsidR="002F3D91" w:rsidRPr="002F3D91" w:rsidRDefault="002F3D91" w:rsidP="002F3D91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Question text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Smith &amp; Sons reported net income of $15,000, income tax expense of $3,000,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and interest expense of $1,000. What is the company’s times-interest-</w:t>
      </w:r>
      <w:proofErr w:type="gramStart"/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earned</w:t>
      </w:r>
      <w:proofErr w:type="gramEnd"/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lastRenderedPageBreak/>
        <w:t>ratio?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42" type="#_x0000_t75" style="width:20.25pt;height:17.25pt" o:ole="">
            <v:imagedata r:id="rId4" o:title=""/>
          </v:shape>
          <w:control r:id="rId57" w:name="DefaultOcxName44" w:shapeid="_x0000_i1142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19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41" type="#_x0000_t75" style="width:20.25pt;height:17.25pt" o:ole="">
            <v:imagedata r:id="rId4" o:title=""/>
          </v:shape>
          <w:control r:id="rId58" w:name="DefaultOcxName45" w:shapeid="_x0000_i1141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18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40" type="#_x0000_t75" style="width:20.25pt;height:17.25pt" o:ole="">
            <v:imagedata r:id="rId4" o:title=""/>
          </v:shape>
          <w:control r:id="rId59" w:name="DefaultOcxName46" w:shapeid="_x0000_i1140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15</w:t>
      </w:r>
    </w:p>
    <w:p w:rsidR="002F3D91" w:rsidRPr="002F3D91" w:rsidRDefault="002F3D91" w:rsidP="002F3D91">
      <w:pPr>
        <w:shd w:val="clear" w:color="auto" w:fill="FFFFFF"/>
        <w:spacing w:after="72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39" type="#_x0000_t75" style="width:20.25pt;height:17.25pt" o:ole="">
            <v:imagedata r:id="rId4" o:title=""/>
          </v:shape>
          <w:control r:id="rId60" w:name="DefaultOcxName47" w:shapeid="_x0000_i1139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3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38" type="#_x0000_t75" style="width:36pt;height:21.75pt" o:ole="">
            <v:imagedata r:id="rId61" o:title=""/>
          </v:shape>
          <w:control r:id="rId62" w:name="DefaultOcxName48" w:shapeid="_x0000_i1138"/>
        </w:object>
      </w:r>
    </w:p>
    <w:p w:rsidR="002F3D91" w:rsidRPr="002F3D91" w:rsidRDefault="002F3D91" w:rsidP="002F3D91">
      <w:pPr>
        <w:shd w:val="clear" w:color="auto" w:fill="FFFFFF"/>
        <w:spacing w:after="0" w:line="240" w:lineRule="auto"/>
        <w:ind w:left="150"/>
        <w:outlineLvl w:val="2"/>
        <w:rPr>
          <w:rFonts w:ascii="Helvetica" w:eastAsia="Times New Roman" w:hAnsi="Helvetica" w:cs="Helvetica"/>
          <w:caps/>
          <w:color w:val="3A3A3A"/>
          <w:sz w:val="18"/>
          <w:szCs w:val="18"/>
        </w:rPr>
      </w:pPr>
      <w:r w:rsidRPr="002F3D91">
        <w:rPr>
          <w:rFonts w:ascii="Helvetica" w:eastAsia="Times New Roman" w:hAnsi="Helvetica" w:cs="Helvetica"/>
          <w:caps/>
          <w:color w:val="3A3A3A"/>
          <w:sz w:val="18"/>
          <w:szCs w:val="18"/>
        </w:rPr>
        <w:t>QUESTION </w:t>
      </w:r>
      <w:r w:rsidRPr="002F3D91">
        <w:rPr>
          <w:rFonts w:ascii="Helvetica" w:eastAsia="Times New Roman" w:hAnsi="Helvetica" w:cs="Helvetica"/>
          <w:b/>
          <w:bCs/>
          <w:caps/>
          <w:color w:val="3A3A3A"/>
          <w:sz w:val="27"/>
          <w:szCs w:val="27"/>
        </w:rPr>
        <w:t>9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Not complete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Marked out of 1.00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17"/>
          <w:szCs w:val="17"/>
        </w:rPr>
      </w:pP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 </w: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object w:dxaOrig="1440" w:dyaOrig="1440">
          <v:shape id="_x0000_i1137" type="#_x0000_t75" style="width:1in;height:1in" o:ole="">
            <v:imagedata r:id="rId11" o:title=""/>
          </v:shape>
          <w:control r:id="rId63" w:name="DefaultOcxName49" w:shapeid="_x0000_i1137"/>
        </w:object>
      </w:r>
      <w:r w:rsidRPr="002F3D91">
        <w:rPr>
          <w:rFonts w:ascii="Helvetica" w:eastAsia="Times New Roman" w:hAnsi="Helvetica" w:cs="Helvetica"/>
          <w:color w:val="3A3A3A"/>
          <w:sz w:val="17"/>
          <w:szCs w:val="17"/>
        </w:rPr>
        <w:t>Flag question</w:t>
      </w:r>
    </w:p>
    <w:p w:rsidR="002F3D91" w:rsidRPr="002F3D91" w:rsidRDefault="002F3D91" w:rsidP="002F3D91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Question text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Smith &amp; Sons reported current assets of $15,000, quick assets of $10,000, and</w:t>
      </w:r>
    </w:p>
    <w:p w:rsidR="002F3D91" w:rsidRPr="002F3D91" w:rsidRDefault="002F3D91" w:rsidP="002F3D9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current liabilities of $5,000. What is the company’s current ratio?</w:t>
      </w:r>
    </w:p>
    <w:p w:rsidR="002F3D91" w:rsidRPr="002F3D91" w:rsidRDefault="002F3D91" w:rsidP="002F3D9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 </w:t>
      </w:r>
    </w:p>
    <w:p w:rsidR="002F3D91" w:rsidRPr="002F3D91" w:rsidRDefault="002F3D91" w:rsidP="002F3D9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Select one: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36" type="#_x0000_t75" style="width:20.25pt;height:17.25pt" o:ole="">
            <v:imagedata r:id="rId4" o:title=""/>
          </v:shape>
          <w:control r:id="rId64" w:name="DefaultOcxName50" w:shapeid="_x0000_i1136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1/3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35" type="#_x0000_t75" style="width:20.25pt;height:17.25pt" o:ole="">
            <v:imagedata r:id="rId4" o:title=""/>
          </v:shape>
          <w:control r:id="rId65" w:name="DefaultOcxName51" w:shapeid="_x0000_i1135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1/2</w:t>
      </w:r>
    </w:p>
    <w:p w:rsidR="002F3D91" w:rsidRPr="002F3D91" w:rsidRDefault="002F3D91" w:rsidP="002F3D91">
      <w:pPr>
        <w:shd w:val="clear" w:color="auto" w:fill="FFFFFF"/>
        <w:spacing w:after="0"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34" type="#_x0000_t75" style="width:20.25pt;height:17.25pt" o:ole="">
            <v:imagedata r:id="rId4" o:title=""/>
          </v:shape>
          <w:control r:id="rId66" w:name="DefaultOcxName52" w:shapeid="_x0000_i1134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2</w:t>
      </w:r>
    </w:p>
    <w:p w:rsidR="002F3D91" w:rsidRPr="002F3D91" w:rsidRDefault="002F3D91" w:rsidP="002F3D91">
      <w:pPr>
        <w:shd w:val="clear" w:color="auto" w:fill="FFFFFF"/>
        <w:spacing w:line="240" w:lineRule="auto"/>
        <w:ind w:hanging="375"/>
        <w:rPr>
          <w:rFonts w:ascii="Helvetica" w:eastAsia="Times New Roman" w:hAnsi="Helvetica" w:cs="Helvetica"/>
          <w:color w:val="3A3A3A"/>
          <w:sz w:val="21"/>
          <w:szCs w:val="21"/>
        </w:rPr>
      </w:pP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object w:dxaOrig="1440" w:dyaOrig="1440">
          <v:shape id="_x0000_i1133" type="#_x0000_t75" style="width:20.25pt;height:17.25pt" o:ole="">
            <v:imagedata r:id="rId4" o:title=""/>
          </v:shape>
          <w:control r:id="rId67" w:name="DefaultOcxName53" w:shapeid="_x0000_i1133"/>
        </w:object>
      </w:r>
      <w:r w:rsidRPr="002F3D91">
        <w:rPr>
          <w:rFonts w:ascii="Helvetica" w:eastAsia="Times New Roman" w:hAnsi="Helvetica" w:cs="Helvetica"/>
          <w:color w:val="3A3A3A"/>
          <w:sz w:val="21"/>
          <w:szCs w:val="21"/>
        </w:rPr>
        <w:t>3</w:t>
      </w:r>
    </w:p>
    <w:p w:rsidR="0066562A" w:rsidRDefault="0066562A"/>
    <w:sectPr w:rsidR="00665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1"/>
    <w:rsid w:val="002F3D91"/>
    <w:rsid w:val="006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C5BA"/>
  <w15:chartTrackingRefBased/>
  <w15:docId w15:val="{7AB8E917-3782-4BC1-BEBA-E35F039B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35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61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497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8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0381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89313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89327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556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7864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13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675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6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21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8265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29424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1540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6112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1034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25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8075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5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9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0902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4051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6435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1359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90484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02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444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5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95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43977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6025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7313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88521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60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738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7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4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4811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3219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957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5505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938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46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795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8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3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0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033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08080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7323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6423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2477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2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889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814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683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0775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69460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4649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86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621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9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4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65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86925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32365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165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420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7858">
                  <w:marLeft w:val="225"/>
                  <w:marRight w:val="225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43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52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3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image" Target="media/image5.wmf"/><Relationship Id="rId39" Type="http://schemas.openxmlformats.org/officeDocument/2006/relationships/control" Target="activeX/activeX30.xml"/><Relationship Id="rId21" Type="http://schemas.openxmlformats.org/officeDocument/2006/relationships/control" Target="activeX/activeX14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image" Target="media/image8.wmf"/><Relationship Id="rId50" Type="http://schemas.openxmlformats.org/officeDocument/2006/relationships/control" Target="activeX/activeX39.xml"/><Relationship Id="rId55" Type="http://schemas.openxmlformats.org/officeDocument/2006/relationships/control" Target="activeX/activeX43.xml"/><Relationship Id="rId63" Type="http://schemas.openxmlformats.org/officeDocument/2006/relationships/control" Target="activeX/activeX50.xml"/><Relationship Id="rId68" Type="http://schemas.openxmlformats.org/officeDocument/2006/relationships/fontTable" Target="fontTable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3.wmf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8.xml"/><Relationship Id="rId40" Type="http://schemas.openxmlformats.org/officeDocument/2006/relationships/image" Target="media/image7.wmf"/><Relationship Id="rId45" Type="http://schemas.openxmlformats.org/officeDocument/2006/relationships/control" Target="activeX/activeX35.xml"/><Relationship Id="rId53" Type="http://schemas.openxmlformats.org/officeDocument/2006/relationships/control" Target="activeX/activeX42.xml"/><Relationship Id="rId58" Type="http://schemas.openxmlformats.org/officeDocument/2006/relationships/control" Target="activeX/activeX46.xml"/><Relationship Id="rId66" Type="http://schemas.openxmlformats.org/officeDocument/2006/relationships/control" Target="activeX/activeX53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7.xml"/><Relationship Id="rId49" Type="http://schemas.openxmlformats.org/officeDocument/2006/relationships/control" Target="activeX/activeX38.xml"/><Relationship Id="rId57" Type="http://schemas.openxmlformats.org/officeDocument/2006/relationships/control" Target="activeX/activeX45.xml"/><Relationship Id="rId61" Type="http://schemas.openxmlformats.org/officeDocument/2006/relationships/image" Target="media/image10.wmf"/><Relationship Id="rId10" Type="http://schemas.openxmlformats.org/officeDocument/2006/relationships/control" Target="activeX/activeX5.xml"/><Relationship Id="rId19" Type="http://schemas.openxmlformats.org/officeDocument/2006/relationships/image" Target="media/image4.wmf"/><Relationship Id="rId31" Type="http://schemas.openxmlformats.org/officeDocument/2006/relationships/control" Target="activeX/activeX23.xml"/><Relationship Id="rId44" Type="http://schemas.openxmlformats.org/officeDocument/2006/relationships/control" Target="activeX/activeX34.xml"/><Relationship Id="rId52" Type="http://schemas.openxmlformats.org/officeDocument/2006/relationships/control" Target="activeX/activeX41.xml"/><Relationship Id="rId60" Type="http://schemas.openxmlformats.org/officeDocument/2006/relationships/control" Target="activeX/activeX48.xml"/><Relationship Id="rId65" Type="http://schemas.openxmlformats.org/officeDocument/2006/relationships/control" Target="activeX/activeX52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7.xml"/><Relationship Id="rId56" Type="http://schemas.openxmlformats.org/officeDocument/2006/relationships/control" Target="activeX/activeX44.xml"/><Relationship Id="rId64" Type="http://schemas.openxmlformats.org/officeDocument/2006/relationships/control" Target="activeX/activeX51.xml"/><Relationship Id="rId69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0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image" Target="media/image6.wmf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control" Target="activeX/activeX47.xml"/><Relationship Id="rId67" Type="http://schemas.openxmlformats.org/officeDocument/2006/relationships/control" Target="activeX/activeX54.xml"/><Relationship Id="rId20" Type="http://schemas.openxmlformats.org/officeDocument/2006/relationships/control" Target="activeX/activeX13.xml"/><Relationship Id="rId41" Type="http://schemas.openxmlformats.org/officeDocument/2006/relationships/control" Target="activeX/activeX31.xml"/><Relationship Id="rId54" Type="http://schemas.openxmlformats.org/officeDocument/2006/relationships/image" Target="media/image9.wmf"/><Relationship Id="rId62" Type="http://schemas.openxmlformats.org/officeDocument/2006/relationships/control" Target="activeX/activeX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yusuf.a.mohamed</dc:creator>
  <cp:keywords/>
  <dc:description/>
  <cp:lastModifiedBy>yusuf.a.mohamed</cp:lastModifiedBy>
  <cp:revision>1</cp:revision>
  <dcterms:created xsi:type="dcterms:W3CDTF">2017-04-17T14:40:00Z</dcterms:created>
  <dcterms:modified xsi:type="dcterms:W3CDTF">2017-04-17T14:42:00Z</dcterms:modified>
</cp:coreProperties>
</file>